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26" w:rsidRPr="00C33026" w:rsidRDefault="00C33026" w:rsidP="00C33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0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HST510085 – Histór</w:t>
      </w:r>
      <w:bookmarkStart w:id="0" w:name="_GoBack"/>
      <w:bookmarkEnd w:id="0"/>
      <w:r w:rsidRPr="00C330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ias Entrecruzadas de Subjetividades, Gênero e Poder.</w:t>
      </w:r>
    </w:p>
    <w:p w:rsidR="00C33026" w:rsidRPr="00C33026" w:rsidRDefault="00C33026" w:rsidP="00C330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72E" w:rsidRPr="00C33026" w:rsidRDefault="00C33026" w:rsidP="00C33026">
      <w:pPr>
        <w:jc w:val="both"/>
        <w:rPr>
          <w:rFonts w:ascii="Times New Roman" w:hAnsi="Times New Roman" w:cs="Times New Roman"/>
          <w:sz w:val="24"/>
          <w:szCs w:val="24"/>
        </w:rPr>
      </w:pPr>
      <w:r w:rsidRPr="00C33026">
        <w:rPr>
          <w:rFonts w:ascii="Times New Roman" w:hAnsi="Times New Roman" w:cs="Times New Roman"/>
          <w:sz w:val="24"/>
          <w:szCs w:val="24"/>
        </w:rPr>
        <w:t xml:space="preserve">Busca-se refletir sobre as relações de gênero, as religiosidades e as subjetividades em contextos culturais de maneira transnacional e cruzada, bem como a partir de casos específicos. Investiga-se o gênero como componente cultural e histórico nos eventos e nos movimentos sociais, bem como, no campo da memória, do patrimônio e das religiosidades. Focaliza-se a constituição de subjetividades hierarquizadas e suas interfaces com outras categorias das relações sociais tais como classes, etnias, sexualidades e gerações. Abordam-se as múltiplas vivências da religião, a partir de um enfoque que privilegia os contextos culturais e as relações de poder a eles inerentes, relacionando-os com o debate em torno da produção e apropriação de </w:t>
      </w:r>
      <w:proofErr w:type="gramStart"/>
      <w:r w:rsidRPr="00C33026">
        <w:rPr>
          <w:rFonts w:ascii="Times New Roman" w:hAnsi="Times New Roman" w:cs="Times New Roman"/>
          <w:sz w:val="24"/>
          <w:szCs w:val="24"/>
        </w:rPr>
        <w:t>subjetividade</w:t>
      </w:r>
      <w:proofErr w:type="gramEnd"/>
    </w:p>
    <w:sectPr w:rsidR="00B3172E" w:rsidRPr="00C330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26"/>
    <w:rsid w:val="00B3172E"/>
    <w:rsid w:val="00C3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2020-09-11T13:21:00Z</dcterms:created>
  <dcterms:modified xsi:type="dcterms:W3CDTF">2020-09-11T13:21:00Z</dcterms:modified>
</cp:coreProperties>
</file>