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66" w:rsidRPr="007E4066" w:rsidRDefault="007E4066" w:rsidP="007E40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4066" w:rsidRPr="007E4066" w:rsidRDefault="007E4066" w:rsidP="007E4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40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HST510095 – Sociedade, Cultura e Política no Mundo </w:t>
      </w:r>
      <w:proofErr w:type="gramStart"/>
      <w:r w:rsidRPr="007E40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Contemporâneo</w:t>
      </w:r>
      <w:proofErr w:type="gramEnd"/>
      <w:r w:rsidRPr="007E40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7E4066" w:rsidRPr="007E4066" w:rsidRDefault="007E4066" w:rsidP="007E40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72E" w:rsidRPr="007E4066" w:rsidRDefault="007E4066" w:rsidP="007E4066">
      <w:pPr>
        <w:jc w:val="both"/>
        <w:rPr>
          <w:rFonts w:ascii="Times New Roman" w:hAnsi="Times New Roman" w:cs="Times New Roman"/>
          <w:sz w:val="24"/>
          <w:szCs w:val="24"/>
        </w:rPr>
      </w:pPr>
      <w:r w:rsidRPr="007E4066">
        <w:rPr>
          <w:rFonts w:ascii="Times New Roman" w:hAnsi="Times New Roman" w:cs="Times New Roman"/>
          <w:sz w:val="24"/>
          <w:szCs w:val="24"/>
        </w:rPr>
        <w:t xml:space="preserve">Esta disciplina procura refletir acerca dos fenômenos econômicos, políticos, sociais e culturais no mundo contemporâneo. Entende-os como momentos de um mesmo processo em seus contextos específicos. Nessa perspectiva totalizante, os temas relativos </w:t>
      </w:r>
      <w:proofErr w:type="gramStart"/>
      <w:r w:rsidRPr="007E406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4066">
        <w:rPr>
          <w:rFonts w:ascii="Times New Roman" w:hAnsi="Times New Roman" w:cs="Times New Roman"/>
          <w:sz w:val="24"/>
          <w:szCs w:val="24"/>
        </w:rPr>
        <w:t xml:space="preserve"> Estado, cidadania, nação e o ambiente internacional em diferentes contextos - imperialismo, colonialismo, democracia e ditadura, constituem nossos problemas de discussão, abrangendo questões como integração e conflitos nacionais e internacionais, trabalho e trabalhadores, guerras, imprensa, fotografia, cinema, literatura, música, propaganda, diplomacia, política externa brasileira e fontes energéticas; sobretudo nos séculos XX e XXI. Desse modo, nossa abordagem teórica - materialista e dialética - articula esses temas e interesses de pesquisa em contextos espaciais locais, regionais e internacionais.</w:t>
      </w:r>
    </w:p>
    <w:sectPr w:rsidR="00B3172E" w:rsidRPr="007E4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66"/>
    <w:rsid w:val="007E4066"/>
    <w:rsid w:val="00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2020-09-11T13:19:00Z</dcterms:created>
  <dcterms:modified xsi:type="dcterms:W3CDTF">2020-09-11T13:20:00Z</dcterms:modified>
</cp:coreProperties>
</file>